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572D" w14:textId="7FE98AB1" w:rsidR="00B830FE" w:rsidRDefault="00701312" w:rsidP="009156E4">
      <w:r>
        <w:t xml:space="preserve">Nell’ultimo anno i </w:t>
      </w:r>
      <w:r w:rsidR="00A216E1" w:rsidRPr="009156E4">
        <w:t>rendimenti dei fondi di previdenza integrativa </w:t>
      </w:r>
      <w:r>
        <w:t xml:space="preserve">sono crollati a causa </w:t>
      </w:r>
      <w:r w:rsidR="00E348A5">
        <w:t xml:space="preserve">soprattutto </w:t>
      </w:r>
      <w:r w:rsidR="00A216E1" w:rsidRPr="009156E4">
        <w:t>d</w:t>
      </w:r>
      <w:r>
        <w:t>e</w:t>
      </w:r>
      <w:r w:rsidR="00A216E1" w:rsidRPr="009156E4">
        <w:t xml:space="preserve">l </w:t>
      </w:r>
      <w:r w:rsidR="00E348A5">
        <w:t xml:space="preserve">pesante calo </w:t>
      </w:r>
      <w:r w:rsidR="00A216E1" w:rsidRPr="009156E4">
        <w:t>dei mercati azionari.</w:t>
      </w:r>
      <w:r w:rsidR="00E348A5">
        <w:t xml:space="preserve"> </w:t>
      </w:r>
    </w:p>
    <w:p w14:paraId="155BF0AC" w14:textId="537F33EF" w:rsidR="00701312" w:rsidRDefault="00E348A5" w:rsidP="009156E4">
      <w:r>
        <w:t xml:space="preserve">Per quanto riguarda i fondi pensione negoziali, quelli </w:t>
      </w:r>
      <w:r w:rsidR="00836E4D">
        <w:t xml:space="preserve">voluti e gestiti </w:t>
      </w:r>
      <w:r>
        <w:t>dalle categorie sindacali, il calo in media è stato nel 202</w:t>
      </w:r>
      <w:r w:rsidR="00B830FE">
        <w:t xml:space="preserve">2 </w:t>
      </w:r>
      <w:r>
        <w:t>d</w:t>
      </w:r>
      <w:r w:rsidR="00B830FE">
        <w:t>i -</w:t>
      </w:r>
      <w:r>
        <w:t xml:space="preserve">9,8%, con una percentuale </w:t>
      </w:r>
      <w:r w:rsidR="00B830FE">
        <w:t xml:space="preserve">di calo maggiore </w:t>
      </w:r>
      <w:r>
        <w:t xml:space="preserve">nelle varie linee di investimento con il crescere del peso degli investimenti nel mercato azionario. E’ importante rilevare che nella linea </w:t>
      </w:r>
      <w:r w:rsidR="00701312">
        <w:t>di investimento</w:t>
      </w:r>
      <w:r>
        <w:t xml:space="preserve"> </w:t>
      </w:r>
      <w:r w:rsidR="00B830FE">
        <w:t>definit</w:t>
      </w:r>
      <w:r w:rsidR="00701312">
        <w:t>a</w:t>
      </w:r>
      <w:r w:rsidR="00B830FE">
        <w:t xml:space="preserve"> </w:t>
      </w:r>
      <w:r>
        <w:t>“bilanciato”</w:t>
      </w:r>
      <w:r w:rsidR="00E57592">
        <w:t>,</w:t>
      </w:r>
      <w:r>
        <w:t xml:space="preserve"> dove è collocato il 53,9% degli iscritti ai fondi </w:t>
      </w:r>
      <w:r w:rsidR="00701312">
        <w:t xml:space="preserve">negoziali </w:t>
      </w:r>
      <w:r>
        <w:t>(dato del 2021)</w:t>
      </w:r>
      <w:r w:rsidR="00E57592">
        <w:t>,</w:t>
      </w:r>
      <w:r>
        <w:t xml:space="preserve"> il calo nel 2022 è stato superiore </w:t>
      </w:r>
      <w:r w:rsidR="00836E4D">
        <w:t xml:space="preserve">alla media </w:t>
      </w:r>
      <w:r>
        <w:t>cioè d</w:t>
      </w:r>
      <w:r w:rsidR="00B830FE">
        <w:t>i -</w:t>
      </w:r>
      <w:r>
        <w:t xml:space="preserve">10,5%. Il confronto con il rendimento del TFR è </w:t>
      </w:r>
      <w:r w:rsidR="00B830FE">
        <w:t xml:space="preserve">impressionante: il TFR </w:t>
      </w:r>
      <w:r>
        <w:t>si è rivalutato nel 2022 d</w:t>
      </w:r>
      <w:r w:rsidR="00B830FE">
        <w:t>i +</w:t>
      </w:r>
      <w:r>
        <w:t xml:space="preserve">8,3%. La rivalutazione del TFR dipende dall’inflazione, ma è pari o superiore all’inflazione solo se quest’ultima è pari o inferiore al 6%, se </w:t>
      </w:r>
      <w:r w:rsidR="00E57592">
        <w:t xml:space="preserve">l’inflazione </w:t>
      </w:r>
      <w:r>
        <w:t>è superiore</w:t>
      </w:r>
      <w:r w:rsidR="00B830FE">
        <w:t>,</w:t>
      </w:r>
      <w:r>
        <w:t xml:space="preserve"> come nel 2022 </w:t>
      </w:r>
      <w:r w:rsidR="00B830FE">
        <w:t xml:space="preserve">quando è stata del 11,6%, </w:t>
      </w:r>
      <w:r>
        <w:t>il recupero è parziale</w:t>
      </w:r>
      <w:r w:rsidR="00B830FE">
        <w:t>. Q</w:t>
      </w:r>
      <w:r w:rsidR="00836E4D">
        <w:t xml:space="preserve">uindi il </w:t>
      </w:r>
      <w:r w:rsidR="00B830FE">
        <w:t xml:space="preserve">TFR ha surclassato </w:t>
      </w:r>
      <w:r w:rsidR="00836E4D">
        <w:t xml:space="preserve">i fondi </w:t>
      </w:r>
      <w:r w:rsidR="00B830FE">
        <w:t xml:space="preserve">pensione </w:t>
      </w:r>
      <w:r w:rsidR="00836E4D">
        <w:t>nonostante non ci sia stato un recupero integrale dell’inflazione</w:t>
      </w:r>
      <w:r>
        <w:t xml:space="preserve">. </w:t>
      </w:r>
    </w:p>
    <w:p w14:paraId="4459F450" w14:textId="3AB2ABA1" w:rsidR="00E348A5" w:rsidRDefault="00E348A5" w:rsidP="009156E4">
      <w:r>
        <w:t xml:space="preserve">Abitualmente i sostenitori </w:t>
      </w:r>
      <w:r w:rsidR="00DC20B7">
        <w:t xml:space="preserve">dei fondi pensione dicono che i rendimenti vanno visti sul lungo periodo. I dati che la COVIP (la commissione di </w:t>
      </w:r>
      <w:r w:rsidR="008132A5">
        <w:t>vigilanza</w:t>
      </w:r>
      <w:r w:rsidR="00DC20B7">
        <w:t xml:space="preserve"> dei fondi pensione) riporta </w:t>
      </w:r>
      <w:r w:rsidR="00701312">
        <w:t>ci dicono c</w:t>
      </w:r>
      <w:r w:rsidR="008132A5">
        <w:t>he negli ultimi 3</w:t>
      </w:r>
      <w:r w:rsidR="00DC20B7">
        <w:t xml:space="preserve"> anni </w:t>
      </w:r>
      <w:r w:rsidR="008132A5">
        <w:t xml:space="preserve">(2020-2022) i fondi hanno </w:t>
      </w:r>
      <w:r w:rsidR="00701312">
        <w:t xml:space="preserve">avuto </w:t>
      </w:r>
      <w:r w:rsidR="008132A5">
        <w:t xml:space="preserve">in media </w:t>
      </w:r>
      <w:r w:rsidR="00DC20B7">
        <w:t xml:space="preserve">un rendimento </w:t>
      </w:r>
      <w:r w:rsidR="00836E4D">
        <w:t xml:space="preserve">negativo </w:t>
      </w:r>
      <w:r w:rsidR="00DC20B7">
        <w:t>d</w:t>
      </w:r>
      <w:r w:rsidR="00836E4D">
        <w:t>i</w:t>
      </w:r>
      <w:r w:rsidR="00DC20B7">
        <w:t xml:space="preserve"> -0,8% contro il TFR a +4,3%</w:t>
      </w:r>
      <w:r w:rsidR="008132A5">
        <w:t>. R</w:t>
      </w:r>
      <w:r w:rsidR="00836E4D">
        <w:t xml:space="preserve">elativamente ai </w:t>
      </w:r>
      <w:r w:rsidR="00DC20B7">
        <w:t xml:space="preserve">rendimenti a 5 anni </w:t>
      </w:r>
      <w:r w:rsidR="008132A5">
        <w:t xml:space="preserve">(2018-2022) </w:t>
      </w:r>
      <w:r w:rsidR="00DC20B7">
        <w:t xml:space="preserve">i fondi </w:t>
      </w:r>
      <w:r w:rsidR="00701312">
        <w:t xml:space="preserve">hanno avuto un rendimento medio di </w:t>
      </w:r>
      <w:r w:rsidR="00DC20B7">
        <w:t xml:space="preserve">+0,5% contro il TFR  a </w:t>
      </w:r>
      <w:r w:rsidR="00E57592">
        <w:t>+</w:t>
      </w:r>
      <w:r w:rsidR="00DC20B7">
        <w:t>3,3%</w:t>
      </w:r>
      <w:r w:rsidR="008132A5">
        <w:t xml:space="preserve">. I rendimenti </w:t>
      </w:r>
      <w:r w:rsidR="00DC20B7">
        <w:t xml:space="preserve">a dieci anni </w:t>
      </w:r>
      <w:r w:rsidR="008132A5">
        <w:t xml:space="preserve">(2013-2022) </w:t>
      </w:r>
      <w:r w:rsidR="00701312">
        <w:t>de</w:t>
      </w:r>
      <w:r w:rsidR="00DC20B7">
        <w:t xml:space="preserve">i fondi sono </w:t>
      </w:r>
      <w:r w:rsidR="00701312">
        <w:t xml:space="preserve">arrivati mediamente </w:t>
      </w:r>
      <w:r w:rsidR="00DC20B7">
        <w:t xml:space="preserve">a + 2,2% e il TFR è a +2,4%. Non ci sono dati più vecchi ma queste ondate di ribasso ci sono già state </w:t>
      </w:r>
      <w:r w:rsidR="00701312">
        <w:t>più di una volta</w:t>
      </w:r>
      <w:r w:rsidR="00DC20B7">
        <w:t>.</w:t>
      </w:r>
    </w:p>
    <w:tbl>
      <w:tblPr>
        <w:tblStyle w:val="Grigliatabella"/>
        <w:tblW w:w="0" w:type="auto"/>
        <w:jc w:val="center"/>
        <w:tblLook w:val="04A0" w:firstRow="1" w:lastRow="0" w:firstColumn="1" w:lastColumn="0" w:noHBand="0" w:noVBand="1"/>
      </w:tblPr>
      <w:tblGrid>
        <w:gridCol w:w="1980"/>
        <w:gridCol w:w="1228"/>
        <w:gridCol w:w="1605"/>
        <w:gridCol w:w="1605"/>
        <w:gridCol w:w="1605"/>
      </w:tblGrid>
      <w:tr w:rsidR="00E57592" w:rsidRPr="002E6175" w14:paraId="5994A978" w14:textId="77777777" w:rsidTr="00E57592">
        <w:trPr>
          <w:jc w:val="center"/>
        </w:trPr>
        <w:tc>
          <w:tcPr>
            <w:tcW w:w="1980" w:type="dxa"/>
          </w:tcPr>
          <w:p w14:paraId="6B41A220" w14:textId="77777777" w:rsidR="00E57592" w:rsidRPr="002E6175" w:rsidRDefault="00E57592" w:rsidP="00DC3805">
            <w:pPr>
              <w:rPr>
                <w:sz w:val="18"/>
                <w:szCs w:val="18"/>
              </w:rPr>
            </w:pPr>
          </w:p>
        </w:tc>
        <w:tc>
          <w:tcPr>
            <w:tcW w:w="1228" w:type="dxa"/>
          </w:tcPr>
          <w:p w14:paraId="4FF5933F" w14:textId="77777777" w:rsidR="00E57592" w:rsidRPr="002E6175" w:rsidRDefault="00E57592" w:rsidP="00DC3805">
            <w:pPr>
              <w:rPr>
                <w:sz w:val="18"/>
                <w:szCs w:val="18"/>
              </w:rPr>
            </w:pPr>
            <w:r w:rsidRPr="002E6175">
              <w:rPr>
                <w:sz w:val="18"/>
                <w:szCs w:val="18"/>
              </w:rPr>
              <w:t>RENDIMENTI A UN ANNO (2022)</w:t>
            </w:r>
          </w:p>
        </w:tc>
        <w:tc>
          <w:tcPr>
            <w:tcW w:w="1605" w:type="dxa"/>
          </w:tcPr>
          <w:p w14:paraId="1B1EA7D6" w14:textId="77777777" w:rsidR="00E57592" w:rsidRPr="002E6175" w:rsidRDefault="00E57592" w:rsidP="00DC3805">
            <w:pPr>
              <w:rPr>
                <w:sz w:val="18"/>
                <w:szCs w:val="18"/>
              </w:rPr>
            </w:pPr>
            <w:r w:rsidRPr="002E6175">
              <w:rPr>
                <w:sz w:val="18"/>
                <w:szCs w:val="18"/>
              </w:rPr>
              <w:t>RENDIMENTI A 3 ANNI</w:t>
            </w:r>
            <w:r>
              <w:rPr>
                <w:sz w:val="18"/>
                <w:szCs w:val="18"/>
              </w:rPr>
              <w:t xml:space="preserve"> (2020-2022)</w:t>
            </w:r>
          </w:p>
        </w:tc>
        <w:tc>
          <w:tcPr>
            <w:tcW w:w="1605" w:type="dxa"/>
          </w:tcPr>
          <w:p w14:paraId="02198F51" w14:textId="77777777" w:rsidR="00E57592" w:rsidRPr="002E6175" w:rsidRDefault="00E57592" w:rsidP="00DC3805">
            <w:pPr>
              <w:rPr>
                <w:sz w:val="18"/>
                <w:szCs w:val="18"/>
              </w:rPr>
            </w:pPr>
            <w:r w:rsidRPr="002E6175">
              <w:rPr>
                <w:sz w:val="18"/>
                <w:szCs w:val="18"/>
              </w:rPr>
              <w:t>RENDIMENTI A 5 ANNI</w:t>
            </w:r>
            <w:r>
              <w:rPr>
                <w:sz w:val="18"/>
                <w:szCs w:val="18"/>
              </w:rPr>
              <w:t xml:space="preserve"> (2018-2022)</w:t>
            </w:r>
          </w:p>
        </w:tc>
        <w:tc>
          <w:tcPr>
            <w:tcW w:w="1605" w:type="dxa"/>
          </w:tcPr>
          <w:p w14:paraId="299BD059" w14:textId="77777777" w:rsidR="00E57592" w:rsidRPr="002E6175" w:rsidRDefault="00E57592" w:rsidP="00DC3805">
            <w:pPr>
              <w:rPr>
                <w:sz w:val="18"/>
                <w:szCs w:val="18"/>
              </w:rPr>
            </w:pPr>
            <w:r w:rsidRPr="002E6175">
              <w:rPr>
                <w:sz w:val="18"/>
                <w:szCs w:val="18"/>
              </w:rPr>
              <w:t>RENDIMENTI A 10 ANNI</w:t>
            </w:r>
            <w:r>
              <w:rPr>
                <w:sz w:val="18"/>
                <w:szCs w:val="18"/>
              </w:rPr>
              <w:t xml:space="preserve"> (2013-2022)</w:t>
            </w:r>
          </w:p>
        </w:tc>
      </w:tr>
      <w:tr w:rsidR="00E57592" w:rsidRPr="002E6175" w14:paraId="536C5A2B" w14:textId="77777777" w:rsidTr="00E57592">
        <w:trPr>
          <w:jc w:val="center"/>
        </w:trPr>
        <w:tc>
          <w:tcPr>
            <w:tcW w:w="1980" w:type="dxa"/>
          </w:tcPr>
          <w:p w14:paraId="373647D9" w14:textId="77777777" w:rsidR="00E57592" w:rsidRPr="002E6175" w:rsidRDefault="00E57592" w:rsidP="00DC3805">
            <w:pPr>
              <w:rPr>
                <w:sz w:val="18"/>
                <w:szCs w:val="18"/>
              </w:rPr>
            </w:pPr>
            <w:r>
              <w:rPr>
                <w:sz w:val="18"/>
                <w:szCs w:val="18"/>
              </w:rPr>
              <w:t>FONDI PENSIONE NEGOZIALI</w:t>
            </w:r>
          </w:p>
        </w:tc>
        <w:tc>
          <w:tcPr>
            <w:tcW w:w="1228" w:type="dxa"/>
          </w:tcPr>
          <w:p w14:paraId="386F0ED9" w14:textId="77777777" w:rsidR="00E57592" w:rsidRPr="002E6175" w:rsidRDefault="00E57592" w:rsidP="00DC3805">
            <w:pPr>
              <w:jc w:val="right"/>
              <w:rPr>
                <w:sz w:val="18"/>
                <w:szCs w:val="18"/>
              </w:rPr>
            </w:pPr>
            <w:r>
              <w:rPr>
                <w:sz w:val="18"/>
                <w:szCs w:val="18"/>
              </w:rPr>
              <w:t>-9.8%</w:t>
            </w:r>
          </w:p>
        </w:tc>
        <w:tc>
          <w:tcPr>
            <w:tcW w:w="1605" w:type="dxa"/>
          </w:tcPr>
          <w:p w14:paraId="17996B75" w14:textId="77777777" w:rsidR="00E57592" w:rsidRPr="002E6175" w:rsidRDefault="00E57592" w:rsidP="00DC3805">
            <w:pPr>
              <w:jc w:val="right"/>
              <w:rPr>
                <w:sz w:val="18"/>
                <w:szCs w:val="18"/>
              </w:rPr>
            </w:pPr>
            <w:r>
              <w:rPr>
                <w:sz w:val="18"/>
                <w:szCs w:val="18"/>
              </w:rPr>
              <w:t>-0,8%</w:t>
            </w:r>
          </w:p>
        </w:tc>
        <w:tc>
          <w:tcPr>
            <w:tcW w:w="1605" w:type="dxa"/>
          </w:tcPr>
          <w:p w14:paraId="73BC2C0F" w14:textId="77777777" w:rsidR="00E57592" w:rsidRPr="002E6175" w:rsidRDefault="00E57592" w:rsidP="00DC3805">
            <w:pPr>
              <w:jc w:val="right"/>
              <w:rPr>
                <w:sz w:val="18"/>
                <w:szCs w:val="18"/>
              </w:rPr>
            </w:pPr>
            <w:r>
              <w:rPr>
                <w:sz w:val="18"/>
                <w:szCs w:val="18"/>
              </w:rPr>
              <w:t>+0,4%</w:t>
            </w:r>
          </w:p>
        </w:tc>
        <w:tc>
          <w:tcPr>
            <w:tcW w:w="1605" w:type="dxa"/>
          </w:tcPr>
          <w:p w14:paraId="14F3435F" w14:textId="77777777" w:rsidR="00E57592" w:rsidRPr="002E6175" w:rsidRDefault="00E57592" w:rsidP="00DC3805">
            <w:pPr>
              <w:jc w:val="right"/>
              <w:rPr>
                <w:sz w:val="18"/>
                <w:szCs w:val="18"/>
              </w:rPr>
            </w:pPr>
            <w:r>
              <w:rPr>
                <w:sz w:val="18"/>
                <w:szCs w:val="18"/>
              </w:rPr>
              <w:t>+2,2%</w:t>
            </w:r>
          </w:p>
        </w:tc>
      </w:tr>
      <w:tr w:rsidR="00E57592" w:rsidRPr="002E6175" w14:paraId="4ED76897" w14:textId="77777777" w:rsidTr="00E57592">
        <w:trPr>
          <w:jc w:val="center"/>
        </w:trPr>
        <w:tc>
          <w:tcPr>
            <w:tcW w:w="1980" w:type="dxa"/>
          </w:tcPr>
          <w:p w14:paraId="7ECC0879" w14:textId="77777777" w:rsidR="00E57592" w:rsidRPr="002E6175" w:rsidRDefault="00E57592" w:rsidP="00DC3805">
            <w:pPr>
              <w:rPr>
                <w:sz w:val="18"/>
                <w:szCs w:val="18"/>
              </w:rPr>
            </w:pPr>
            <w:r>
              <w:rPr>
                <w:sz w:val="18"/>
                <w:szCs w:val="18"/>
              </w:rPr>
              <w:t>TFR</w:t>
            </w:r>
          </w:p>
        </w:tc>
        <w:tc>
          <w:tcPr>
            <w:tcW w:w="1228" w:type="dxa"/>
          </w:tcPr>
          <w:p w14:paraId="746DF686" w14:textId="77777777" w:rsidR="00E57592" w:rsidRPr="002E6175" w:rsidRDefault="00E57592" w:rsidP="00DC3805">
            <w:pPr>
              <w:jc w:val="right"/>
              <w:rPr>
                <w:sz w:val="18"/>
                <w:szCs w:val="18"/>
              </w:rPr>
            </w:pPr>
            <w:r>
              <w:rPr>
                <w:sz w:val="18"/>
                <w:szCs w:val="18"/>
              </w:rPr>
              <w:t>+8,3%</w:t>
            </w:r>
          </w:p>
        </w:tc>
        <w:tc>
          <w:tcPr>
            <w:tcW w:w="1605" w:type="dxa"/>
          </w:tcPr>
          <w:p w14:paraId="39977A87" w14:textId="77777777" w:rsidR="00E57592" w:rsidRPr="002E6175" w:rsidRDefault="00E57592" w:rsidP="00DC3805">
            <w:pPr>
              <w:jc w:val="right"/>
              <w:rPr>
                <w:sz w:val="18"/>
                <w:szCs w:val="18"/>
              </w:rPr>
            </w:pPr>
            <w:r>
              <w:rPr>
                <w:sz w:val="18"/>
                <w:szCs w:val="18"/>
              </w:rPr>
              <w:t>+4.3%</w:t>
            </w:r>
          </w:p>
        </w:tc>
        <w:tc>
          <w:tcPr>
            <w:tcW w:w="1605" w:type="dxa"/>
          </w:tcPr>
          <w:p w14:paraId="03444CA9" w14:textId="77777777" w:rsidR="00E57592" w:rsidRPr="002E6175" w:rsidRDefault="00E57592" w:rsidP="00DC3805">
            <w:pPr>
              <w:jc w:val="right"/>
              <w:rPr>
                <w:sz w:val="18"/>
                <w:szCs w:val="18"/>
              </w:rPr>
            </w:pPr>
            <w:r>
              <w:rPr>
                <w:sz w:val="18"/>
                <w:szCs w:val="18"/>
              </w:rPr>
              <w:t>+3.3%</w:t>
            </w:r>
          </w:p>
        </w:tc>
        <w:tc>
          <w:tcPr>
            <w:tcW w:w="1605" w:type="dxa"/>
          </w:tcPr>
          <w:p w14:paraId="6E3DAB09" w14:textId="77777777" w:rsidR="00E57592" w:rsidRPr="002E6175" w:rsidRDefault="00E57592" w:rsidP="00DC3805">
            <w:pPr>
              <w:jc w:val="right"/>
              <w:rPr>
                <w:sz w:val="18"/>
                <w:szCs w:val="18"/>
              </w:rPr>
            </w:pPr>
            <w:r>
              <w:rPr>
                <w:sz w:val="18"/>
                <w:szCs w:val="18"/>
              </w:rPr>
              <w:t>+2,4%</w:t>
            </w:r>
          </w:p>
        </w:tc>
      </w:tr>
    </w:tbl>
    <w:p w14:paraId="42AFBF10" w14:textId="77777777" w:rsidR="00E57592" w:rsidRDefault="00E57592" w:rsidP="009156E4"/>
    <w:p w14:paraId="2C30F6B0" w14:textId="039693C6" w:rsidR="00DC20B7" w:rsidRDefault="00DC20B7" w:rsidP="009156E4">
      <w:r>
        <w:t xml:space="preserve">Come si vede </w:t>
      </w:r>
      <w:r w:rsidR="008132A5">
        <w:t>inserire i</w:t>
      </w:r>
      <w:r>
        <w:t xml:space="preserve">l salario dei lavoratori (tale è il TFR) </w:t>
      </w:r>
      <w:r w:rsidR="008132A5">
        <w:t>nel mare magnum della finanza</w:t>
      </w:r>
      <w:r>
        <w:t xml:space="preserve"> non dà nessuna garanzia, può andare bene o andare male esattamente come qualsiasi forma di investimento finanziario.</w:t>
      </w:r>
    </w:p>
    <w:p w14:paraId="67DBA5BE" w14:textId="547FB914" w:rsidR="008132A5" w:rsidRDefault="00BB4BCA">
      <w:r>
        <w:t xml:space="preserve">Per quanto riguarda </w:t>
      </w:r>
      <w:r w:rsidR="008132A5">
        <w:t xml:space="preserve">i lavoratori dipendenti </w:t>
      </w:r>
      <w:r>
        <w:t xml:space="preserve">iscritti ai </w:t>
      </w:r>
      <w:r w:rsidRPr="009156E4">
        <w:t>fondi negoziali</w:t>
      </w:r>
      <w:r w:rsidR="00701312">
        <w:t xml:space="preserve"> nel 2022</w:t>
      </w:r>
      <w:r w:rsidRPr="009156E4">
        <w:t xml:space="preserve"> s</w:t>
      </w:r>
      <w:r w:rsidR="00701312">
        <w:t xml:space="preserve">ono state registrate </w:t>
      </w:r>
      <w:r w:rsidRPr="009156E4">
        <w:t>34</w:t>
      </w:r>
      <w:r w:rsidR="008132A5">
        <w:t xml:space="preserve">9.000 </w:t>
      </w:r>
      <w:r w:rsidRPr="009156E4">
        <w:t>posizioni in più rispetto alla fine dell’anno precedente (+10,1%), per un totale di 3</w:t>
      </w:r>
      <w:r w:rsidR="008132A5">
        <w:t>.</w:t>
      </w:r>
      <w:r w:rsidRPr="009156E4">
        <w:t>806</w:t>
      </w:r>
      <w:r w:rsidR="008132A5">
        <w:t>.000</w:t>
      </w:r>
      <w:r w:rsidRPr="009156E4">
        <w:t xml:space="preserve">. </w:t>
      </w:r>
      <w:r w:rsidR="00DC20B7">
        <w:t xml:space="preserve">Gli iscritti ai fondi pensione sono </w:t>
      </w:r>
      <w:r w:rsidR="00701312">
        <w:t xml:space="preserve">quindi </w:t>
      </w:r>
      <w:r w:rsidR="00DC20B7">
        <w:t xml:space="preserve">aumentati, ma è un aumento “drogato” </w:t>
      </w:r>
      <w:r>
        <w:t>dal susseguirsi di accordi sindacali che iscrivono i lavoratori di certe categor</w:t>
      </w:r>
      <w:r w:rsidR="008132A5">
        <w:t>ie</w:t>
      </w:r>
      <w:r>
        <w:t xml:space="preserve"> in modo automatico, cioè obbligatorio, senza nessuna richiesta di consenso. Si può sperare che </w:t>
      </w:r>
      <w:r w:rsidR="00836E4D">
        <w:t xml:space="preserve">questi lavoratori </w:t>
      </w:r>
      <w:r>
        <w:t xml:space="preserve">poi vengano </w:t>
      </w:r>
      <w:r w:rsidR="00836E4D">
        <w:t xml:space="preserve">almeno </w:t>
      </w:r>
      <w:r>
        <w:t>informati, ma è possibile che ci siano anche dei problemi da questo punto di vista perché si tratta in genere di categorie di lavoratori poco stabili. Questo tipo di iscrizione comporta un versamento diverso da quello previsto per i lavoratori che si iscrivono volontariamente. L’adesione “contrattuale” comporta un versamento, “a carico del datore di lavoro” minimo, intorno all’1%</w:t>
      </w:r>
      <w:r w:rsidR="00E57592">
        <w:t>,</w:t>
      </w:r>
      <w:r w:rsidR="00CA2328">
        <w:t xml:space="preserve"> sostanzialmente inutile perché troppo basso </w:t>
      </w:r>
      <w:r w:rsidR="00836E4D">
        <w:t xml:space="preserve">per determinare risultati minimamente decenti </w:t>
      </w:r>
      <w:r w:rsidR="00CA2328">
        <w:t xml:space="preserve">al momento del pensionamento. Tale forma di adesione invece tenta di raggiungere l’obiettivo di far pensare ad una </w:t>
      </w:r>
      <w:r w:rsidR="00836E4D">
        <w:t>crescita</w:t>
      </w:r>
      <w:r w:rsidR="00CA2328">
        <w:t xml:space="preserve"> di consenso </w:t>
      </w:r>
      <w:r w:rsidR="00836E4D">
        <w:t xml:space="preserve">ai fondi </w:t>
      </w:r>
      <w:r w:rsidR="00CA2328">
        <w:t>che è fasulla. La percentuale reale di adesioni ai fondi negoziali continua ad essere inferiore al 30% dei lavoratori dipendenti</w:t>
      </w:r>
      <w:r w:rsidR="008132A5">
        <w:t>, una minoranza concentrata nelle categorie più “forti”.</w:t>
      </w:r>
    </w:p>
    <w:p w14:paraId="4851A088" w14:textId="42EC2808" w:rsidR="00C91C7E" w:rsidRDefault="00CA2328">
      <w:r>
        <w:t>I</w:t>
      </w:r>
      <w:r w:rsidR="008E4D57">
        <w:t xml:space="preserve"> rendimenti negativi del </w:t>
      </w:r>
      <w:r w:rsidR="00B44AB9">
        <w:t xml:space="preserve">2022 </w:t>
      </w:r>
      <w:r>
        <w:t>ha</w:t>
      </w:r>
      <w:r w:rsidR="008E4D57">
        <w:t>nno</w:t>
      </w:r>
      <w:r>
        <w:t xml:space="preserve"> prodotto perfino un calo delle risorse</w:t>
      </w:r>
      <w:r w:rsidR="008132A5">
        <w:t xml:space="preserve"> accumulate</w:t>
      </w:r>
      <w:r>
        <w:t>.</w:t>
      </w:r>
      <w:r w:rsidR="00836E4D">
        <w:t xml:space="preserve"> </w:t>
      </w:r>
      <w:r w:rsidR="00A216E1" w:rsidRPr="009156E4">
        <w:t>Nei fondi negoziali, l’attivo è di 61,1 miliardi di euro </w:t>
      </w:r>
      <w:r>
        <w:t xml:space="preserve">con un calo pari a </w:t>
      </w:r>
      <w:r w:rsidR="00A216E1" w:rsidRPr="009156E4">
        <w:t>-6,5%</w:t>
      </w:r>
      <w:r w:rsidR="00836E4D">
        <w:t xml:space="preserve"> sull’anno precedente</w:t>
      </w:r>
      <w:r>
        <w:t>. Questo nonostante che n</w:t>
      </w:r>
      <w:r w:rsidR="00A216E1" w:rsidRPr="009156E4">
        <w:t>ell’anno appena trascorso i contributi incassati da</w:t>
      </w:r>
      <w:r w:rsidR="00FE1F64">
        <w:t>i</w:t>
      </w:r>
      <w:r w:rsidR="00A216E1" w:rsidRPr="009156E4">
        <w:t xml:space="preserve"> fondi negoziali</w:t>
      </w:r>
      <w:r>
        <w:t xml:space="preserve"> siano aumentati del </w:t>
      </w:r>
      <w:r w:rsidR="00A216E1" w:rsidRPr="009156E4">
        <w:t>4,5% .</w:t>
      </w:r>
      <w:r>
        <w:t xml:space="preserve"> In sostanza il calo dei rendimenti si è mangiato sia le nuove entrate che una parte del capitale accumulato.</w:t>
      </w:r>
      <w:r w:rsidR="008E4D57">
        <w:t xml:space="preserve"> Complimenti.</w:t>
      </w:r>
    </w:p>
    <w:p w14:paraId="73227D48" w14:textId="386AA7CF" w:rsidR="00701312" w:rsidRDefault="00FE1F64">
      <w:r>
        <w:t>I fondi complementari sono al disastro e se un lavoratore va in pensione adesso si ritrova un rendimento che, a seconda del momento d</w:t>
      </w:r>
      <w:r w:rsidR="008E4D57">
        <w:t>ella sua iscrizione ad un fondo</w:t>
      </w:r>
      <w:r>
        <w:t xml:space="preserve">, potrebbe essere pesantemente tagliato </w:t>
      </w:r>
      <w:r>
        <w:lastRenderedPageBreak/>
        <w:t xml:space="preserve">rispetto al TFR. </w:t>
      </w:r>
      <w:r w:rsidR="008132A5">
        <w:t xml:space="preserve">Non risolve il problema il fatto che siano stati versati </w:t>
      </w:r>
      <w:r w:rsidR="008E4D57">
        <w:t xml:space="preserve">anche </w:t>
      </w:r>
      <w:r w:rsidR="008132A5">
        <w:t xml:space="preserve">dei contributi da parte dell’imprenditore, perché tali contributi sono di solito alternativi ad aumenti in busta paga. </w:t>
      </w:r>
    </w:p>
    <w:p w14:paraId="20AFBEC4" w14:textId="7140B4EC" w:rsidR="00701312" w:rsidRDefault="00FE1F64">
      <w:r>
        <w:t xml:space="preserve">I fondi pensione confermano di non essere sistemi pensionistici, per quanto di tipo privatistico, sono </w:t>
      </w:r>
      <w:r w:rsidR="00701312">
        <w:t xml:space="preserve">in realtà </w:t>
      </w:r>
      <w:r>
        <w:t xml:space="preserve">forme di investimento finanziario </w:t>
      </w:r>
      <w:r w:rsidR="00701312">
        <w:t>e come tali sono soggette agli “sbalzi di umore” dei mercati</w:t>
      </w:r>
      <w:r>
        <w:t xml:space="preserve">. Quando poi non garantiscono nemmeno un rendimento almeno pari al TFR sono anche investimenti farlocchi e casuali, a volte ci si prende a volte no. </w:t>
      </w:r>
    </w:p>
    <w:p w14:paraId="4F75FA4E" w14:textId="264A85A0" w:rsidR="00FE1F64" w:rsidRPr="009156E4" w:rsidRDefault="00FE1F64">
      <w:pPr>
        <w:rPr>
          <w:rFonts w:ascii="Arial" w:hAnsi="Arial"/>
          <w:color w:val="FFFFFF" w:themeColor="background1"/>
          <w:sz w:val="24"/>
        </w:rPr>
      </w:pPr>
      <w:r>
        <w:t>E’ ora di aprire una discussione sui fondi e il loro ruolo a partire dai dati della realtà e non dai propri sogni o dall’aspirazione a diventare manager, o peggio ancora pensando di tornare all’idea che tali fondi poss</w:t>
      </w:r>
      <w:r w:rsidR="008E4D57">
        <w:t>a</w:t>
      </w:r>
      <w:r>
        <w:t xml:space="preserve">no essere la base per una nuova forma di democrazia economica. </w:t>
      </w:r>
    </w:p>
    <w:sectPr w:rsidR="00FE1F64" w:rsidRPr="009156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E1"/>
    <w:rsid w:val="002D6344"/>
    <w:rsid w:val="00701312"/>
    <w:rsid w:val="007F19C5"/>
    <w:rsid w:val="008132A5"/>
    <w:rsid w:val="00836E4D"/>
    <w:rsid w:val="008E4D57"/>
    <w:rsid w:val="009156E4"/>
    <w:rsid w:val="00A216E1"/>
    <w:rsid w:val="00AD2AB0"/>
    <w:rsid w:val="00B44AB9"/>
    <w:rsid w:val="00B830FE"/>
    <w:rsid w:val="00BB4BCA"/>
    <w:rsid w:val="00C439AA"/>
    <w:rsid w:val="00C91C7E"/>
    <w:rsid w:val="00CA2328"/>
    <w:rsid w:val="00DC20B7"/>
    <w:rsid w:val="00E348A5"/>
    <w:rsid w:val="00E57592"/>
    <w:rsid w:val="00FE1F6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621D"/>
  <w15:chartTrackingRefBased/>
  <w15:docId w15:val="{CAC5648D-2BE4-4B3B-9DF1-A8024E2B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216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216E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16E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216E1"/>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A216E1"/>
    <w:rPr>
      <w:color w:val="0000FF"/>
      <w:u w:val="single"/>
    </w:rPr>
  </w:style>
  <w:style w:type="paragraph" w:styleId="NormaleWeb">
    <w:name w:val="Normal (Web)"/>
    <w:basedOn w:val="Normale"/>
    <w:uiPriority w:val="99"/>
    <w:semiHidden/>
    <w:unhideWhenUsed/>
    <w:rsid w:val="00A216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6E1"/>
    <w:rPr>
      <w:b/>
      <w:bCs/>
    </w:rPr>
  </w:style>
  <w:style w:type="table" w:styleId="Grigliatabella">
    <w:name w:val="Table Grid"/>
    <w:basedOn w:val="Tabellanormale"/>
    <w:uiPriority w:val="39"/>
    <w:rsid w:val="00E5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315673">
      <w:bodyDiv w:val="1"/>
      <w:marLeft w:val="0"/>
      <w:marRight w:val="0"/>
      <w:marTop w:val="0"/>
      <w:marBottom w:val="0"/>
      <w:divBdr>
        <w:top w:val="none" w:sz="0" w:space="0" w:color="auto"/>
        <w:left w:val="none" w:sz="0" w:space="0" w:color="auto"/>
        <w:bottom w:val="none" w:sz="0" w:space="0" w:color="auto"/>
        <w:right w:val="none" w:sz="0" w:space="0" w:color="auto"/>
      </w:divBdr>
      <w:divsChild>
        <w:div w:id="1215116234">
          <w:marLeft w:val="0"/>
          <w:marRight w:val="0"/>
          <w:marTop w:val="0"/>
          <w:marBottom w:val="0"/>
          <w:divBdr>
            <w:top w:val="none" w:sz="0" w:space="0" w:color="auto"/>
            <w:left w:val="none" w:sz="0" w:space="0" w:color="auto"/>
            <w:bottom w:val="none" w:sz="0" w:space="0" w:color="auto"/>
            <w:right w:val="none" w:sz="0" w:space="0" w:color="auto"/>
          </w:divBdr>
          <w:divsChild>
            <w:div w:id="271518125">
              <w:marLeft w:val="0"/>
              <w:marRight w:val="0"/>
              <w:marTop w:val="0"/>
              <w:marBottom w:val="0"/>
              <w:divBdr>
                <w:top w:val="none" w:sz="0" w:space="0" w:color="auto"/>
                <w:left w:val="none" w:sz="0" w:space="0" w:color="auto"/>
                <w:bottom w:val="none" w:sz="0" w:space="0" w:color="auto"/>
                <w:right w:val="none" w:sz="0" w:space="0" w:color="auto"/>
              </w:divBdr>
            </w:div>
          </w:divsChild>
        </w:div>
        <w:div w:id="1594626488">
          <w:marLeft w:val="0"/>
          <w:marRight w:val="0"/>
          <w:marTop w:val="0"/>
          <w:marBottom w:val="0"/>
          <w:divBdr>
            <w:top w:val="none" w:sz="0" w:space="0" w:color="auto"/>
            <w:left w:val="none" w:sz="0" w:space="0" w:color="auto"/>
            <w:bottom w:val="none" w:sz="0" w:space="0" w:color="auto"/>
            <w:right w:val="none" w:sz="0" w:space="0" w:color="auto"/>
          </w:divBdr>
        </w:div>
        <w:div w:id="37167114">
          <w:marLeft w:val="0"/>
          <w:marRight w:val="0"/>
          <w:marTop w:val="0"/>
          <w:marBottom w:val="0"/>
          <w:divBdr>
            <w:top w:val="none" w:sz="0" w:space="0" w:color="auto"/>
            <w:left w:val="none" w:sz="0" w:space="0" w:color="auto"/>
            <w:bottom w:val="none" w:sz="0" w:space="0" w:color="auto"/>
            <w:right w:val="none" w:sz="0" w:space="0" w:color="auto"/>
          </w:divBdr>
          <w:divsChild>
            <w:div w:id="1158958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4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4111</Characters>
  <Application>Microsoft Office Word</Application>
  <DocSecurity>0</DocSecurity>
  <Lines>69</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7</cp:revision>
  <cp:lastPrinted>2023-02-12T11:07:00Z</cp:lastPrinted>
  <dcterms:created xsi:type="dcterms:W3CDTF">2023-02-10T12:16:00Z</dcterms:created>
  <dcterms:modified xsi:type="dcterms:W3CDTF">2023-02-12T13:47:00Z</dcterms:modified>
</cp:coreProperties>
</file>